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500" w:line="384.00000000000006" w:lineRule="auto"/>
        <w:rPr>
          <w:color w:val="161515"/>
          <w:sz w:val="23"/>
          <w:szCs w:val="23"/>
        </w:rPr>
      </w:pPr>
      <w:r w:rsidDel="00000000" w:rsidR="00000000" w:rsidRPr="00000000">
        <w:rPr>
          <w:color w:val="161515"/>
          <w:sz w:val="23"/>
          <w:szCs w:val="23"/>
        </w:rPr>
        <w:drawing>
          <wp:inline distB="114300" distT="114300" distL="114300" distR="114300">
            <wp:extent cx="1758743" cy="17558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8743" cy="17558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500" w:line="276" w:lineRule="auto"/>
        <w:ind w:left="360"/>
        <w:rPr>
          <w:color w:val="161515"/>
          <w:sz w:val="23"/>
          <w:szCs w:val="23"/>
        </w:rPr>
      </w:pPr>
      <w:r w:rsidDel="00000000" w:rsidR="00000000" w:rsidRPr="00000000">
        <w:rPr>
          <w:b w:val="1"/>
          <w:bCs w:val="1"/>
          <w:color w:val="161515"/>
          <w:sz w:val="23"/>
          <w:szCs w:val="23"/>
          <w:rtl w:val="0"/>
        </w:rPr>
        <w:t xml:space="preserve">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500" w:line="276" w:lineRule="auto"/>
        <w:rPr>
          <w:rFonts w:ascii="Arial" w:cs="Arial" w:eastAsia="Arial" w:hAnsi="Arial"/>
          <w:color w:val="16151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161515"/>
          <w:sz w:val="23"/>
          <w:szCs w:val="23"/>
          <w:rtl w:val="0"/>
        </w:rPr>
        <w:t xml:space="preserve">Central Film School</w:t>
      </w:r>
    </w:p>
    <w:p w:rsidR="00000000" w:rsidDel="00000000" w:rsidP="00000000" w:rsidRDefault="00000000" w:rsidRPr="00000000" w14:paraId="00000004">
      <w:pPr>
        <w:pStyle w:val="Title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500" w:line="276" w:lineRule="auto"/>
        <w:rPr>
          <w:sz w:val="21.920001983642578"/>
          <w:szCs w:val="21.920001983642578"/>
        </w:rPr>
      </w:pPr>
      <w:bookmarkStart w:colFirst="0" w:colLast="0" w:name="_5awqmd4k2pga" w:id="0"/>
      <w:bookmarkEnd w:id="0"/>
      <w:r w:rsidDel="00000000" w:rsidR="00000000" w:rsidRPr="00000000">
        <w:rPr>
          <w:rtl w:val="0"/>
        </w:rPr>
        <w:t xml:space="preserve">Recruitment &amp; Admissions Committee - Terms of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ind w:left="0" w:firstLine="0"/>
        <w:rPr/>
      </w:pPr>
      <w:bookmarkStart w:colFirst="0" w:colLast="0" w:name="_dqqinqevgehe" w:id="1"/>
      <w:bookmarkEnd w:id="1"/>
      <w:r w:rsidDel="00000000" w:rsidR="00000000" w:rsidRPr="00000000">
        <w:rPr>
          <w:rtl w:val="0"/>
        </w:rPr>
        <w:t xml:space="preserve">Section A - Purpose and Structure</w:t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</w:pPr>
      <w:bookmarkStart w:colFirst="0" w:colLast="0" w:name="_ug85cna2l2lo" w:id="2"/>
      <w:bookmarkEnd w:id="2"/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This committee has been instituted by the academic board to provide termly updates from the Recruitment &amp; Admissions Team at Central Film School, analysing current trends in applications, supporting events internally and externally and understanding key demographic information within the Recruitment &amp; Admissions cycle. 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</w:pPr>
      <w:bookmarkStart w:colFirst="0" w:colLast="0" w:name="_cnetk02sur52" w:id="3"/>
      <w:bookmarkEnd w:id="3"/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 below roles, or their designated nominees, form the membership of the Recruitment &amp; Admissions Committee: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Recruitment and Admissions Managers (Chairs)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Chief Executive Officer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Student Recruitment and Admissions Officer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Senior Marketing and Communications Manager 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Other members of the team may be invited to attend from time to time. </w:t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</w:pPr>
      <w:bookmarkStart w:colFirst="0" w:colLast="0" w:name="_5sc85nc301m1" w:id="4"/>
      <w:bookmarkEnd w:id="4"/>
      <w:r w:rsidDel="00000000" w:rsidR="00000000" w:rsidRPr="00000000">
        <w:rPr>
          <w:rtl w:val="0"/>
        </w:rPr>
        <w:t xml:space="preserve">Reporting Structure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 RAC reports to the Academic Board. 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</w:pPr>
      <w:bookmarkStart w:colFirst="0" w:colLast="0" w:name="_olzggbmlr58j" w:id="5"/>
      <w:bookmarkEnd w:id="5"/>
      <w:r w:rsidDel="00000000" w:rsidR="00000000" w:rsidRPr="00000000">
        <w:rPr>
          <w:rtl w:val="0"/>
        </w:rPr>
        <w:t xml:space="preserve">Meetings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The committee meets termly or as an when necessary. Quorum is achieved by a minimum of 50% of members including the Chair.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ind w:left="0" w:firstLine="0"/>
        <w:rPr/>
      </w:pPr>
      <w:bookmarkStart w:colFirst="0" w:colLast="0" w:name="_ws3qaujqmtd3" w:id="6"/>
      <w:bookmarkEnd w:id="6"/>
      <w:r w:rsidDel="00000000" w:rsidR="00000000" w:rsidRPr="00000000">
        <w:rPr>
          <w:rtl w:val="0"/>
        </w:rPr>
        <w:t xml:space="preserve">Section B - Terms of Reference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widowControl w:val="0"/>
        <w:numPr>
          <w:ilvl w:val="0"/>
          <w:numId w:val="1"/>
        </w:numPr>
        <w:spacing w:after="200" w:line="276" w:lineRule="auto"/>
        <w:ind w:right="0"/>
        <w:jc w:val="left"/>
        <w:rPr/>
      </w:pPr>
      <w:bookmarkStart w:colFirst="0" w:colLast="0" w:name="_20os0j7dvhad" w:id="7"/>
      <w:bookmarkEnd w:id="7"/>
      <w:r w:rsidDel="00000000" w:rsidR="00000000" w:rsidRPr="00000000">
        <w:rPr>
          <w:rtl w:val="0"/>
        </w:rPr>
        <w:t xml:space="preserve">Terms of Reference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Commentating and actioning of effects of applicants in relation to Pre-Offer and Post-Offer stages of the Admissions process in comparison to the previous years cycle. 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Analysis of withdrawal decisions by applicants and applying this into practice of procedures. </w:t>
      </w:r>
    </w:p>
    <w:p w:rsidR="00000000" w:rsidDel="00000000" w:rsidP="00000000" w:rsidRDefault="00000000" w:rsidRPr="00000000" w14:paraId="0000001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Reflection on Recruitment Activity that has taken place and the significant impact from this and a look forward to future events with data provided on both ends.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Insight into International Recruitment including current statistics, events undertaken and activity done with Agents.</w:t>
      </w:r>
    </w:p>
    <w:p w:rsidR="00000000" w:rsidDel="00000000" w:rsidP="00000000" w:rsidRDefault="00000000" w:rsidRPr="00000000" w14:paraId="0000002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Analyse current and future Outreach events with consideration of the Access and Participation requirements for future events.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committee should ensure that arrangements are in place to enable the development of responsibilities amongst members. </w:t>
      </w:r>
    </w:p>
    <w:p w:rsidR="00000000" w:rsidDel="00000000" w:rsidP="00000000" w:rsidRDefault="00000000" w:rsidRPr="00000000" w14:paraId="0000002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Committee Co-Chairs should report to the Academic Board on a quarterly basis, normally by presenting an Executive Summary of minutes and notes at the next Board meeting.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0"/>
        <w:gridCol w:w="4510"/>
        <w:tblGridChange w:id="0">
          <w:tblGrid>
            <w:gridCol w:w="4510"/>
            <w:gridCol w:w="4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Recruitment &amp; Admissions Committee - Terms of Reference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Reference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CFS-RAC-2025-004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Issuing Authority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CFS Academic Board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Chettur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 Approval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 Aug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Last Amended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May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Effective 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 Aug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Review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Jun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60" w:line="33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5" w:tblpY="0"/>
        <w:tblW w:w="9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5"/>
        <w:gridCol w:w="1485"/>
        <w:gridCol w:w="1935"/>
        <w:tblGridChange w:id="0">
          <w:tblGrid>
            <w:gridCol w:w="5685"/>
            <w:gridCol w:w="1485"/>
            <w:gridCol w:w="1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widowControl w:val="0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History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Purpose/Change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Terms of Reference Created 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May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Terms of Reference Updated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 Jun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460" w:line="33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cs="Arial" w:eastAsia="Arial" w:hAnsi="Arial"/>
        <w:b w:val="0"/>
        <w:bCs w:val="0"/>
        <w:sz w:val="22"/>
        <w:szCs w:val="22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●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●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●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●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●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●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ind w:left="720" w:right="650.894775390625" w:hanging="36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="276" w:lineRule="auto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="276" w:lineRule="auto"/>
      <w:jc w:val="both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after="500" w:line="276" w:lineRule="auto"/>
    </w:pPr>
    <w:rPr>
      <w:rFonts w:ascii="Arial" w:cs="Arial" w:eastAsia="Arial" w:hAnsi="Arial"/>
      <w:b w:val="1"/>
      <w:bCs w:val="1"/>
      <w:color w:val="161515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ind w:left="0" w:firstLine="0"/>
    </w:pPr>
    <w:rPr>
      <w:b w:val="1"/>
      <w:bCs w:val="1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